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7EC" w:rsidRDefault="006777EC" w:rsidP="006777EC">
      <w:r>
        <w:rPr>
          <w:noProof/>
        </w:rPr>
        <w:drawing>
          <wp:inline distT="0" distB="0" distL="0" distR="0">
            <wp:extent cx="1533525" cy="476250"/>
            <wp:effectExtent l="19050" t="0" r="9525" b="0"/>
            <wp:docPr id="1" name="Image 1" descr="ecolavag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lavage 1-01"/>
                    <pic:cNvPicPr>
                      <a:picLocks noChangeAspect="1" noChangeArrowheads="1"/>
                    </pic:cNvPicPr>
                  </pic:nvPicPr>
                  <pic:blipFill>
                    <a:blip r:embed="rId8" cstate="print"/>
                    <a:srcRect/>
                    <a:stretch>
                      <a:fillRect/>
                    </a:stretch>
                  </pic:blipFill>
                  <pic:spPr bwMode="auto">
                    <a:xfrm>
                      <a:off x="0" y="0"/>
                      <a:ext cx="1533525" cy="476250"/>
                    </a:xfrm>
                    <a:prstGeom prst="rect">
                      <a:avLst/>
                    </a:prstGeom>
                    <a:noFill/>
                    <a:ln w="9525">
                      <a:noFill/>
                      <a:miter lim="800000"/>
                      <a:headEnd/>
                      <a:tailEnd/>
                    </a:ln>
                  </pic:spPr>
                </pic:pic>
              </a:graphicData>
            </a:graphic>
          </wp:inline>
        </w:drawing>
      </w:r>
      <w:r>
        <w:t xml:space="preserve">               </w:t>
      </w:r>
      <w:r w:rsidRPr="005C2483">
        <w:rPr>
          <w:rFonts w:ascii="Georgia" w:hAnsi="Georgia"/>
          <w:b/>
          <w:bCs/>
          <w:sz w:val="28"/>
          <w:szCs w:val="28"/>
        </w:rPr>
        <w:t>FICHE TECHNIQUE</w:t>
      </w:r>
      <w:r w:rsidR="004D553C">
        <w:rPr>
          <w:rFonts w:ascii="Georgia" w:hAnsi="Georgia"/>
          <w:b/>
          <w:bCs/>
          <w:sz w:val="28"/>
          <w:szCs w:val="28"/>
        </w:rPr>
        <w:t xml:space="preserve">                 </w:t>
      </w:r>
      <w:r w:rsidR="004D553C">
        <w:rPr>
          <w:noProof/>
        </w:rPr>
        <w:drawing>
          <wp:inline distT="0" distB="0" distL="0" distR="0">
            <wp:extent cx="952500" cy="1476375"/>
            <wp:effectExtent l="19050" t="0" r="0" b="0"/>
            <wp:docPr id="2" name="Image 1" descr="http://www.eco-nettoyage.com/medias/images/hg3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co-nettoyage.com/medias/images/hg375.jpg"/>
                    <pic:cNvPicPr>
                      <a:picLocks noChangeAspect="1" noChangeArrowheads="1"/>
                    </pic:cNvPicPr>
                  </pic:nvPicPr>
                  <pic:blipFill>
                    <a:blip r:embed="rId9"/>
                    <a:srcRect/>
                    <a:stretch>
                      <a:fillRect/>
                    </a:stretch>
                  </pic:blipFill>
                  <pic:spPr bwMode="auto">
                    <a:xfrm>
                      <a:off x="0" y="0"/>
                      <a:ext cx="952500" cy="1476375"/>
                    </a:xfrm>
                    <a:prstGeom prst="rect">
                      <a:avLst/>
                    </a:prstGeom>
                    <a:noFill/>
                    <a:ln w="9525">
                      <a:noFill/>
                      <a:miter lim="800000"/>
                      <a:headEnd/>
                      <a:tailEnd/>
                    </a:ln>
                  </pic:spPr>
                </pic:pic>
              </a:graphicData>
            </a:graphic>
          </wp:inline>
        </w:drawing>
      </w:r>
    </w:p>
    <w:p w:rsidR="006777EC" w:rsidRDefault="006777EC" w:rsidP="006777EC">
      <w:pPr>
        <w:rPr>
          <w:sz w:val="20"/>
          <w:szCs w:val="20"/>
        </w:rPr>
      </w:pPr>
    </w:p>
    <w:p w:rsidR="006777EC" w:rsidRPr="005D57ED" w:rsidRDefault="006777EC" w:rsidP="006777EC">
      <w:r w:rsidRPr="005D57ED">
        <w:rPr>
          <w:b/>
          <w:bCs/>
          <w:sz w:val="28"/>
          <w:szCs w:val="28"/>
        </w:rPr>
        <w:t xml:space="preserve"> Nom du produit :</w:t>
      </w:r>
      <w:r w:rsidRPr="005D57ED">
        <w:t xml:space="preserve">    </w:t>
      </w:r>
      <w:r w:rsidRPr="006777EC">
        <w:rPr>
          <w:sz w:val="32"/>
          <w:szCs w:val="32"/>
        </w:rPr>
        <w:t>ANTIBASSOL</w:t>
      </w:r>
    </w:p>
    <w:p w:rsidR="006777EC" w:rsidRPr="005D57ED" w:rsidRDefault="006777EC" w:rsidP="006777EC">
      <w:r w:rsidRPr="005D57ED">
        <w:rPr>
          <w:b/>
          <w:bCs/>
          <w:sz w:val="28"/>
          <w:szCs w:val="28"/>
        </w:rPr>
        <w:t>Classification du produit</w:t>
      </w:r>
      <w:r w:rsidRPr="005D57ED">
        <w:rPr>
          <w:b/>
          <w:bCs/>
        </w:rPr>
        <w:t xml:space="preserve"> :</w:t>
      </w:r>
      <w:r w:rsidRPr="005D57ED">
        <w:t xml:space="preserve"> </w:t>
      </w:r>
      <w:r>
        <w:t>Détergent Germicide</w:t>
      </w:r>
    </w:p>
    <w:p w:rsidR="006777EC" w:rsidRPr="005D57ED" w:rsidRDefault="006777EC" w:rsidP="006777EC">
      <w:pPr>
        <w:rPr>
          <w:b/>
          <w:bCs/>
          <w:sz w:val="28"/>
          <w:szCs w:val="28"/>
        </w:rPr>
      </w:pPr>
      <w:r w:rsidRPr="005D57ED">
        <w:rPr>
          <w:b/>
          <w:bCs/>
          <w:sz w:val="28"/>
          <w:szCs w:val="28"/>
        </w:rPr>
        <w:t>Indications :</w:t>
      </w:r>
    </w:p>
    <w:p w:rsidR="006777EC" w:rsidRDefault="006777EC" w:rsidP="006777EC">
      <w:r>
        <w:t>Produit doté d’une double action : détergent et désinfectant puissant : bactéricide,  fongicide, virucide. Spécialement recommander pour la désinfection des surfaces dans le cadre du bionettoyage pour hôpitaux, cliniques, piscine eaux de mer cabinets médicaux et vétérinaires, industries agroalimentaires, institutions scolaires, écoles, chambres de malades et  des enfants, et dans tout lieu ou l’hygiène revêt une importance primordiale.</w:t>
      </w:r>
    </w:p>
    <w:p w:rsidR="006777EC" w:rsidRDefault="006777EC" w:rsidP="006777EC">
      <w:r>
        <w:t>Très grande activité bactéricide sur les bacilles gram négatifs.</w:t>
      </w:r>
    </w:p>
    <w:p w:rsidR="006777EC" w:rsidRDefault="006777EC" w:rsidP="006777EC">
      <w:r>
        <w:t>Reste efficace en présence de la matière organique.</w:t>
      </w:r>
    </w:p>
    <w:p w:rsidR="006777EC" w:rsidRDefault="006777EC" w:rsidP="006777EC">
      <w:r>
        <w:t>Ses activités détergente et germicide restent intactes quelque soit la dureté de l’eau.</w:t>
      </w:r>
    </w:p>
    <w:p w:rsidR="006777EC" w:rsidRDefault="006777EC" w:rsidP="006777EC">
      <w:r>
        <w:t>Antiviral total même contre les virus encapsulés type HBV (Hépatite B).</w:t>
      </w:r>
    </w:p>
    <w:p w:rsidR="006777EC" w:rsidRDefault="006777EC" w:rsidP="006777EC">
      <w:r>
        <w:t xml:space="preserve">En plus Antibassol est détergent et humectant.   </w:t>
      </w:r>
    </w:p>
    <w:p w:rsidR="006777EC" w:rsidRPr="005D57ED" w:rsidRDefault="006777EC" w:rsidP="006777EC">
      <w:pPr>
        <w:rPr>
          <w:b/>
          <w:bCs/>
          <w:sz w:val="28"/>
          <w:szCs w:val="28"/>
        </w:rPr>
      </w:pPr>
      <w:r w:rsidRPr="005D57ED">
        <w:rPr>
          <w:b/>
          <w:bCs/>
          <w:sz w:val="28"/>
          <w:szCs w:val="28"/>
        </w:rPr>
        <w:t xml:space="preserve">Actions : </w:t>
      </w:r>
    </w:p>
    <w:p w:rsidR="006777EC" w:rsidRDefault="006777EC" w:rsidP="006777EC">
      <w:r w:rsidRPr="006777EC">
        <w:t>Détergent et désinfectant à actions multiples et simultanées. Pour nettoyer, désincruster et désinfecter en un seul passage les surfaces, chambres froides, sols, espaces communs (passages, toilettes…). Il associe l’action détergente à l’action désinfectante et rémanente des ammoniums quaternaires.</w:t>
      </w:r>
    </w:p>
    <w:p w:rsidR="006777EC" w:rsidRPr="002B3F3D" w:rsidRDefault="006777EC" w:rsidP="006777EC">
      <w:pPr>
        <w:rPr>
          <w:b/>
          <w:bCs/>
          <w:sz w:val="28"/>
          <w:szCs w:val="28"/>
        </w:rPr>
      </w:pPr>
      <w:r w:rsidRPr="002B3F3D">
        <w:rPr>
          <w:b/>
          <w:bCs/>
          <w:sz w:val="28"/>
          <w:szCs w:val="28"/>
        </w:rPr>
        <w:t>Conseil</w:t>
      </w:r>
      <w:r>
        <w:rPr>
          <w:b/>
          <w:bCs/>
          <w:sz w:val="28"/>
          <w:szCs w:val="28"/>
        </w:rPr>
        <w:t>s</w:t>
      </w:r>
      <w:r w:rsidRPr="002B3F3D">
        <w:rPr>
          <w:b/>
          <w:bCs/>
          <w:sz w:val="28"/>
          <w:szCs w:val="28"/>
        </w:rPr>
        <w:t xml:space="preserve"> d’utilisation :</w:t>
      </w:r>
    </w:p>
    <w:p w:rsidR="006777EC" w:rsidRDefault="006777EC" w:rsidP="006777EC">
      <w:r w:rsidRPr="006777EC">
        <w:t>Le produit s’utilise dilué dans l’eau courante dans des proportions de 5 à 15g  par litre. Appliquer à la surface et laisser en contact de 5 à 20 min pour laisse</w:t>
      </w:r>
      <w:r>
        <w:t>r agir l’activité germicide.</w:t>
      </w:r>
    </w:p>
    <w:p w:rsidR="006777EC" w:rsidRDefault="006777EC" w:rsidP="006777EC">
      <w:pPr>
        <w:rPr>
          <w:b/>
          <w:bCs/>
          <w:sz w:val="28"/>
          <w:szCs w:val="28"/>
        </w:rPr>
      </w:pPr>
      <w:r w:rsidRPr="005D57ED">
        <w:rPr>
          <w:b/>
          <w:bCs/>
          <w:sz w:val="28"/>
          <w:szCs w:val="28"/>
        </w:rPr>
        <w:t>Caractéristiques du produit :</w:t>
      </w:r>
    </w:p>
    <w:p w:rsidR="006777EC" w:rsidRDefault="006777EC" w:rsidP="006777EC">
      <w:pPr>
        <w:pStyle w:val="Paragraphedeliste"/>
        <w:numPr>
          <w:ilvl w:val="0"/>
          <w:numId w:val="4"/>
        </w:numPr>
      </w:pPr>
      <w:r>
        <w:t xml:space="preserve">Liquide Bleu </w:t>
      </w:r>
    </w:p>
    <w:p w:rsidR="006777EC" w:rsidRDefault="006777EC" w:rsidP="006777EC">
      <w:pPr>
        <w:pStyle w:val="Paragraphedeliste"/>
        <w:numPr>
          <w:ilvl w:val="0"/>
          <w:numId w:val="4"/>
        </w:numPr>
      </w:pPr>
      <w:r>
        <w:t>Densité : 1.</w:t>
      </w:r>
    </w:p>
    <w:p w:rsidR="006777EC" w:rsidRDefault="006777EC" w:rsidP="006777EC">
      <w:pPr>
        <w:pStyle w:val="Paragraphedeliste"/>
        <w:numPr>
          <w:ilvl w:val="0"/>
          <w:numId w:val="4"/>
        </w:numPr>
      </w:pPr>
      <w:r>
        <w:t>PH : de 6.5 à 7.5</w:t>
      </w:r>
    </w:p>
    <w:p w:rsidR="006777EC" w:rsidRPr="005D57ED" w:rsidRDefault="006777EC" w:rsidP="006777EC">
      <w:pPr>
        <w:rPr>
          <w:b/>
          <w:bCs/>
          <w:sz w:val="28"/>
          <w:szCs w:val="28"/>
        </w:rPr>
      </w:pPr>
      <w:r w:rsidRPr="005D57ED">
        <w:rPr>
          <w:b/>
          <w:bCs/>
          <w:sz w:val="28"/>
          <w:szCs w:val="28"/>
        </w:rPr>
        <w:t>Composition :</w:t>
      </w:r>
    </w:p>
    <w:p w:rsidR="006777EC" w:rsidRDefault="006777EC" w:rsidP="006777EC">
      <w:pPr>
        <w:pStyle w:val="Paragraphedeliste"/>
        <w:numPr>
          <w:ilvl w:val="0"/>
          <w:numId w:val="5"/>
        </w:numPr>
      </w:pPr>
      <w:r>
        <w:t>Tensioactifs cationiques.</w:t>
      </w:r>
    </w:p>
    <w:p w:rsidR="006777EC" w:rsidRDefault="006777EC" w:rsidP="006777EC">
      <w:pPr>
        <w:pStyle w:val="Paragraphedeliste"/>
        <w:numPr>
          <w:ilvl w:val="0"/>
          <w:numId w:val="5"/>
        </w:numPr>
      </w:pPr>
      <w:r>
        <w:t xml:space="preserve">Ammonium quaternaire de dernière génération. </w:t>
      </w:r>
    </w:p>
    <w:p w:rsidR="006777EC" w:rsidRDefault="006777EC" w:rsidP="006777EC">
      <w:pPr>
        <w:pStyle w:val="Paragraphedeliste"/>
        <w:numPr>
          <w:ilvl w:val="0"/>
          <w:numId w:val="5"/>
        </w:numPr>
      </w:pPr>
      <w:r>
        <w:t>Eau bi distillée</w:t>
      </w:r>
    </w:p>
    <w:p w:rsidR="006777EC" w:rsidRDefault="006777EC" w:rsidP="006777EC">
      <w:pPr>
        <w:pStyle w:val="Paragraphedeliste"/>
        <w:numPr>
          <w:ilvl w:val="0"/>
          <w:numId w:val="5"/>
        </w:numPr>
      </w:pPr>
      <w:r>
        <w:t>Colorant  alimentaire.</w:t>
      </w:r>
    </w:p>
    <w:p w:rsidR="006777EC" w:rsidRPr="005D57ED" w:rsidRDefault="006777EC" w:rsidP="006777EC">
      <w:pPr>
        <w:rPr>
          <w:b/>
          <w:bCs/>
          <w:sz w:val="28"/>
          <w:szCs w:val="28"/>
        </w:rPr>
      </w:pPr>
      <w:r w:rsidRPr="005D57ED">
        <w:rPr>
          <w:b/>
          <w:bCs/>
          <w:sz w:val="28"/>
          <w:szCs w:val="28"/>
        </w:rPr>
        <w:t>Présentation :</w:t>
      </w:r>
    </w:p>
    <w:p w:rsidR="006777EC" w:rsidRDefault="006777EC" w:rsidP="006777EC">
      <w:pPr>
        <w:numPr>
          <w:ilvl w:val="0"/>
          <w:numId w:val="1"/>
        </w:numPr>
      </w:pPr>
      <w:r>
        <w:t>Flacon de 1litre</w:t>
      </w:r>
    </w:p>
    <w:p w:rsidR="006777EC" w:rsidRDefault="006777EC" w:rsidP="006777EC">
      <w:pPr>
        <w:numPr>
          <w:ilvl w:val="0"/>
          <w:numId w:val="1"/>
        </w:numPr>
      </w:pPr>
      <w:r>
        <w:t>Jerrycan de 5 litres</w:t>
      </w:r>
    </w:p>
    <w:p w:rsidR="006777EC" w:rsidRPr="005D57ED" w:rsidRDefault="006777EC" w:rsidP="006777EC">
      <w:pPr>
        <w:numPr>
          <w:ilvl w:val="0"/>
          <w:numId w:val="1"/>
        </w:numPr>
      </w:pPr>
      <w:r>
        <w:t>Fut de 25 litres.</w:t>
      </w:r>
    </w:p>
    <w:p w:rsidR="006777EC" w:rsidRPr="005D57ED" w:rsidRDefault="006777EC" w:rsidP="006777EC">
      <w:pPr>
        <w:rPr>
          <w:b/>
          <w:bCs/>
          <w:sz w:val="28"/>
          <w:szCs w:val="28"/>
        </w:rPr>
      </w:pPr>
      <w:r w:rsidRPr="005D57ED">
        <w:rPr>
          <w:b/>
          <w:bCs/>
          <w:sz w:val="28"/>
          <w:szCs w:val="28"/>
        </w:rPr>
        <w:t>Sécurité :</w:t>
      </w:r>
    </w:p>
    <w:p w:rsidR="006777EC" w:rsidRDefault="006777EC" w:rsidP="006777EC">
      <w:pPr>
        <w:pStyle w:val="Paragraphedeliste"/>
        <w:numPr>
          <w:ilvl w:val="0"/>
          <w:numId w:val="6"/>
        </w:numPr>
      </w:pPr>
      <w:r>
        <w:t>NE PAS AVALER.</w:t>
      </w:r>
    </w:p>
    <w:p w:rsidR="006777EC" w:rsidRDefault="006777EC" w:rsidP="006777EC">
      <w:pPr>
        <w:pStyle w:val="Paragraphedeliste"/>
        <w:numPr>
          <w:ilvl w:val="0"/>
          <w:numId w:val="6"/>
        </w:numPr>
      </w:pPr>
      <w:r>
        <w:t>NE PAS LAISSER À LA PORTÉE DES ENFANTS</w:t>
      </w:r>
    </w:p>
    <w:p w:rsidR="006777EC" w:rsidRDefault="006777EC" w:rsidP="006777EC">
      <w:pPr>
        <w:pStyle w:val="Paragraphedeliste"/>
        <w:numPr>
          <w:ilvl w:val="0"/>
          <w:numId w:val="6"/>
        </w:numPr>
      </w:pPr>
      <w:r>
        <w:t>EN CAS DE CONTACT AVEC LES YEUX, LAVER IMMÉDIATEMENT AVEC  BEAUCOUP D’EAU ET CONSULTER UN MÉDECIN.</w:t>
      </w:r>
    </w:p>
    <w:p w:rsidR="006777EC" w:rsidRPr="005D57ED" w:rsidRDefault="006777EC" w:rsidP="006777EC">
      <w:pPr>
        <w:pStyle w:val="Paragraphedeliste"/>
        <w:numPr>
          <w:ilvl w:val="0"/>
          <w:numId w:val="6"/>
        </w:numPr>
      </w:pPr>
      <w:r>
        <w:t>EN CAS D’INGESTION, CONSULTER IMMÉDIATEMENT UN MÉDECIN ET LUI MONTRER LE RÉCIPIENT</w:t>
      </w:r>
    </w:p>
    <w:tbl>
      <w:tblPr>
        <w:tblpPr w:leftFromText="141" w:rightFromText="141" w:vertAnchor="text" w:horzAnchor="margin" w:tblpXSpec="center" w:tblpY="143"/>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65"/>
      </w:tblGrid>
      <w:tr w:rsidR="006777EC" w:rsidRPr="005D57ED" w:rsidTr="00431E96">
        <w:tc>
          <w:tcPr>
            <w:tcW w:w="11165" w:type="dxa"/>
            <w:shd w:val="clear" w:color="auto" w:fill="auto"/>
          </w:tcPr>
          <w:p w:rsidR="006777EC" w:rsidRPr="005D57ED" w:rsidRDefault="006777EC" w:rsidP="00431E96">
            <w:pPr>
              <w:tabs>
                <w:tab w:val="left" w:pos="1260"/>
              </w:tabs>
            </w:pPr>
            <w:r>
              <w:t xml:space="preserve">° </w:t>
            </w:r>
            <w:r w:rsidRPr="005D57ED">
              <w:t>Produit fabriqué sous licence par Pronet Souss, 14 AV.29 Février, Talborjt-Agadir tel : (+212) 528842305/ 528842309</w:t>
            </w:r>
          </w:p>
          <w:p w:rsidR="006777EC" w:rsidRPr="005D57ED" w:rsidRDefault="006777EC" w:rsidP="00431E96">
            <w:pPr>
              <w:tabs>
                <w:tab w:val="left" w:pos="1260"/>
              </w:tabs>
            </w:pPr>
            <w:r>
              <w:lastRenderedPageBreak/>
              <w:t xml:space="preserve">° </w:t>
            </w:r>
            <w:r w:rsidRPr="005D57ED">
              <w:t>Produit biodégradable</w:t>
            </w:r>
          </w:p>
        </w:tc>
      </w:tr>
    </w:tbl>
    <w:p w:rsidR="00C84B30" w:rsidRDefault="00C84B30" w:rsidP="00B843C2">
      <w:pPr>
        <w:tabs>
          <w:tab w:val="left" w:pos="6480"/>
        </w:tabs>
      </w:pPr>
    </w:p>
    <w:p w:rsidR="00B843C2" w:rsidRDefault="00B843C2" w:rsidP="00B843C2">
      <w:pPr>
        <w:tabs>
          <w:tab w:val="left" w:pos="6480"/>
        </w:tabs>
      </w:pPr>
    </w:p>
    <w:p w:rsidR="00B843C2" w:rsidRPr="00B843C2" w:rsidRDefault="00B843C2" w:rsidP="00B843C2">
      <w:pPr>
        <w:tabs>
          <w:tab w:val="left" w:pos="6480"/>
        </w:tabs>
        <w:rPr>
          <w:b/>
          <w:sz w:val="32"/>
          <w:szCs w:val="32"/>
        </w:rPr>
      </w:pPr>
      <w:r w:rsidRPr="00B843C2">
        <w:rPr>
          <w:b/>
          <w:sz w:val="32"/>
          <w:szCs w:val="32"/>
        </w:rPr>
        <w:t>Biologie :</w:t>
      </w:r>
    </w:p>
    <w:p w:rsidR="00B843C2" w:rsidRDefault="00B843C2" w:rsidP="00B843C2">
      <w:pPr>
        <w:tabs>
          <w:tab w:val="left" w:pos="6480"/>
        </w:tabs>
      </w:pPr>
    </w:p>
    <w:p w:rsidR="00B843C2" w:rsidRPr="00B843C2" w:rsidRDefault="00B843C2" w:rsidP="00B843C2">
      <w:pPr>
        <w:tabs>
          <w:tab w:val="left" w:pos="6480"/>
        </w:tabs>
        <w:rPr>
          <w:b/>
        </w:rPr>
      </w:pPr>
      <w:r w:rsidRPr="00B843C2">
        <w:rPr>
          <w:b/>
        </w:rPr>
        <w:t>Propriétés Germicides :</w:t>
      </w:r>
    </w:p>
    <w:p w:rsidR="00B843C2" w:rsidRDefault="00B843C2" w:rsidP="00B843C2">
      <w:pPr>
        <w:tabs>
          <w:tab w:val="left" w:pos="6480"/>
        </w:tabs>
      </w:pPr>
      <w:r w:rsidRPr="00F02716">
        <w:rPr>
          <w:b/>
          <w:u w:val="single"/>
        </w:rPr>
        <w:t>Activité Bactéricide :</w:t>
      </w:r>
      <w:r>
        <w:t xml:space="preserve"> ( Temps de contacte 1min) :</w:t>
      </w:r>
    </w:p>
    <w:p w:rsidR="00B843C2" w:rsidRDefault="00B843C2" w:rsidP="00B843C2">
      <w:pPr>
        <w:tabs>
          <w:tab w:val="left" w:pos="6480"/>
        </w:tabs>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49"/>
        <w:gridCol w:w="2938"/>
      </w:tblGrid>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Souches Testées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rPr>
                <w:sz w:val="20"/>
              </w:rPr>
            </w:pPr>
            <w:r w:rsidRPr="00B843C2">
              <w:rPr>
                <w:sz w:val="20"/>
              </w:rPr>
              <w:t>Doses minimales actives en ppm*</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 xml:space="preserve">Escherichia Coli ATCC 10536 </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418</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Salmonella paratyphi A</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835</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Protéus Vulgaris ATCC 881</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335</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Shigella Somnei ATCC 9290</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167</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Klebsiella Pneumonae ATCC 10031</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335</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Streptococcus faecalis ATCC 10541</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42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Streptococcus Pneumonae Scalvo 111</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42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Streptococcus pyogenes A</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42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Sarcina Lutea ATCC 9341</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10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Corynbacterium Diphtiriae ATCC 8032</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42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Brucella Abortus ATCC 9153</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10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Lactobacillus casei ATCC 7469</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10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Bacilius Subtilis ATCC 6633</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0.52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Pseudomonas aeroginosa ATCC 10145</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335</w:t>
            </w:r>
          </w:p>
        </w:tc>
      </w:tr>
    </w:tbl>
    <w:p w:rsidR="00B843C2" w:rsidRPr="00B843C2" w:rsidRDefault="00B843C2" w:rsidP="00B843C2">
      <w:pPr>
        <w:pBdr>
          <w:top w:val="single" w:sz="4" w:space="1" w:color="auto"/>
          <w:left w:val="single" w:sz="4" w:space="4" w:color="auto"/>
          <w:bottom w:val="single" w:sz="4" w:space="1" w:color="auto"/>
          <w:right w:val="single" w:sz="4" w:space="4" w:color="auto"/>
        </w:pBdr>
      </w:pPr>
    </w:p>
    <w:p w:rsidR="00B843C2" w:rsidRPr="00B843C2" w:rsidRDefault="00B843C2" w:rsidP="00B843C2">
      <w:pPr>
        <w:pBdr>
          <w:top w:val="single" w:sz="4" w:space="1" w:color="auto"/>
          <w:left w:val="single" w:sz="4" w:space="4" w:color="auto"/>
          <w:bottom w:val="single" w:sz="4" w:space="1" w:color="auto"/>
          <w:right w:val="single" w:sz="4" w:space="4" w:color="auto"/>
        </w:pBdr>
        <w:rPr>
          <w:b/>
          <w:bCs/>
          <w:u w:val="single"/>
        </w:rPr>
      </w:pPr>
      <w:r w:rsidRPr="00B843C2">
        <w:rPr>
          <w:b/>
          <w:bCs/>
          <w:u w:val="single"/>
        </w:rPr>
        <w:t>Activité Fongicide : ( Temps de contact 1min).</w:t>
      </w:r>
    </w:p>
    <w:p w:rsidR="00B843C2" w:rsidRPr="00B843C2" w:rsidRDefault="00B843C2" w:rsidP="00B843C2">
      <w:pPr>
        <w:pBdr>
          <w:top w:val="single" w:sz="4" w:space="1" w:color="auto"/>
          <w:left w:val="single" w:sz="4" w:space="4" w:color="auto"/>
          <w:bottom w:val="single" w:sz="4" w:space="1" w:color="auto"/>
          <w:right w:val="single" w:sz="4" w:space="4" w:color="auto"/>
        </w:pBd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036"/>
        <w:gridCol w:w="3483"/>
      </w:tblGrid>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Souches testées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Doses minimales actives en ppm*</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Candida albicans ATCC</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210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Nocardic asteroides CBS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52</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Aspergilius Niger ISM</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16 700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Penicillium SP</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210</w:t>
            </w:r>
          </w:p>
        </w:tc>
      </w:tr>
      <w:tr w:rsidR="00B843C2" w:rsidRPr="00B843C2" w:rsidTr="00431E96">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Trichophyton mentgrphyte ATCC 8757</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jc w:val="center"/>
              <w:rPr>
                <w:b/>
                <w:bCs/>
              </w:rPr>
            </w:pPr>
            <w:r w:rsidRPr="00B843C2">
              <w:rPr>
                <w:b/>
                <w:bCs/>
              </w:rPr>
              <w:t>52</w:t>
            </w:r>
          </w:p>
        </w:tc>
      </w:tr>
    </w:tbl>
    <w:p w:rsidR="00B843C2" w:rsidRPr="00B843C2" w:rsidRDefault="00B843C2" w:rsidP="00B843C2">
      <w:pPr>
        <w:pBdr>
          <w:top w:val="single" w:sz="4" w:space="1" w:color="auto"/>
          <w:left w:val="single" w:sz="4" w:space="4" w:color="auto"/>
          <w:bottom w:val="single" w:sz="4" w:space="1" w:color="auto"/>
          <w:right w:val="single" w:sz="4" w:space="4" w:color="auto"/>
        </w:pBdr>
      </w:pPr>
    </w:p>
    <w:p w:rsidR="00B843C2" w:rsidRPr="00B843C2" w:rsidRDefault="00B843C2" w:rsidP="00B843C2">
      <w:pPr>
        <w:pBdr>
          <w:top w:val="single" w:sz="4" w:space="1" w:color="auto"/>
          <w:left w:val="single" w:sz="4" w:space="4" w:color="auto"/>
          <w:bottom w:val="single" w:sz="4" w:space="1" w:color="auto"/>
          <w:right w:val="single" w:sz="4" w:space="4" w:color="auto"/>
        </w:pBdr>
        <w:rPr>
          <w:b/>
          <w:bCs/>
          <w:u w:val="single"/>
        </w:rPr>
      </w:pPr>
      <w:r w:rsidRPr="00B843C2">
        <w:rPr>
          <w:b/>
          <w:bCs/>
          <w:u w:val="single"/>
        </w:rPr>
        <w:t>Activité virucide</w:t>
      </w:r>
    </w:p>
    <w:p w:rsidR="00B843C2" w:rsidRPr="00B843C2" w:rsidRDefault="00B843C2" w:rsidP="00B843C2">
      <w:pPr>
        <w:pBdr>
          <w:top w:val="single" w:sz="4" w:space="1" w:color="auto"/>
          <w:left w:val="single" w:sz="4" w:space="4" w:color="auto"/>
          <w:bottom w:val="single" w:sz="4" w:space="1" w:color="auto"/>
          <w:right w:val="single" w:sz="4" w:space="4" w:color="auto"/>
        </w:pBd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582"/>
        <w:gridCol w:w="1936"/>
        <w:gridCol w:w="2325"/>
      </w:tblGrid>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Souches testées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Concentration</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Temps</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Vaccina virus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11.7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1mn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Influenza Virus ( Orthomyxovirus)</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11.7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1min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Adenovirus Type 2</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11.7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1min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Virus Rhapdo</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11.7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1min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Herpes Simplex</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11.7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1min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HBV (Hépatite B).</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42.5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120min</w:t>
            </w:r>
          </w:p>
        </w:tc>
      </w:tr>
      <w:tr w:rsidR="00B843C2" w:rsidRPr="00B843C2" w:rsidTr="00B843C2">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HTLV III  ( SIDA)</w:t>
            </w:r>
          </w:p>
        </w:tc>
        <w:tc>
          <w:tcPr>
            <w:tcW w:w="0" w:type="auto"/>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42.5 g/l de Bionet</w:t>
            </w:r>
          </w:p>
        </w:tc>
        <w:tc>
          <w:tcPr>
            <w:tcW w:w="2325" w:type="dxa"/>
          </w:tcPr>
          <w:p w:rsidR="00B843C2" w:rsidRPr="00B843C2" w:rsidRDefault="00B843C2" w:rsidP="00431E96">
            <w:pPr>
              <w:pBdr>
                <w:top w:val="single" w:sz="4" w:space="1" w:color="auto"/>
                <w:left w:val="single" w:sz="4" w:space="4" w:color="auto"/>
                <w:bottom w:val="single" w:sz="4" w:space="1" w:color="auto"/>
                <w:right w:val="single" w:sz="4" w:space="4" w:color="auto"/>
              </w:pBdr>
            </w:pPr>
            <w:r w:rsidRPr="00B843C2">
              <w:t>120min</w:t>
            </w:r>
          </w:p>
        </w:tc>
      </w:tr>
    </w:tbl>
    <w:p w:rsidR="00B843C2" w:rsidRPr="00B843C2" w:rsidRDefault="00B843C2" w:rsidP="00B843C2">
      <w:pPr>
        <w:tabs>
          <w:tab w:val="left" w:pos="6480"/>
        </w:tabs>
        <w:rPr>
          <w:b/>
          <w:bCs/>
          <w:szCs w:val="32"/>
        </w:rPr>
      </w:pPr>
    </w:p>
    <w:sectPr w:rsidR="00B843C2" w:rsidRPr="00B843C2" w:rsidSect="0026743B">
      <w:footerReference w:type="even" r:id="rId10"/>
      <w:footerReference w:type="default" r:id="rId11"/>
      <w:pgSz w:w="11906" w:h="16838"/>
      <w:pgMar w:top="238" w:right="1418" w:bottom="244" w:left="1418" w:header="709" w:footer="709" w:gutter="0"/>
      <w:pgNumType w:fmt="upperRoman"/>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F9A" w:rsidRDefault="00372F9A" w:rsidP="001D0820">
      <w:r>
        <w:separator/>
      </w:r>
    </w:p>
  </w:endnote>
  <w:endnote w:type="continuationSeparator" w:id="1">
    <w:p w:rsidR="00372F9A" w:rsidRDefault="00372F9A" w:rsidP="001D08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84" w:rsidRDefault="001D0820">
    <w:pPr>
      <w:pStyle w:val="Pieddepage"/>
      <w:framePr w:wrap="around" w:vAnchor="text" w:hAnchor="margin" w:xAlign="center" w:y="1"/>
      <w:rPr>
        <w:rStyle w:val="Numrodepage"/>
        <w:rFonts w:eastAsiaTheme="majorEastAsia"/>
      </w:rPr>
    </w:pPr>
    <w:r>
      <w:rPr>
        <w:rStyle w:val="Numrodepage"/>
        <w:rFonts w:eastAsiaTheme="majorEastAsia"/>
      </w:rPr>
      <w:fldChar w:fldCharType="begin"/>
    </w:r>
    <w:r w:rsidR="0048555F">
      <w:rPr>
        <w:rStyle w:val="Numrodepage"/>
        <w:rFonts w:eastAsiaTheme="majorEastAsia"/>
      </w:rPr>
      <w:instrText xml:space="preserve">PAGE  </w:instrText>
    </w:r>
    <w:r>
      <w:rPr>
        <w:rStyle w:val="Numrodepage"/>
        <w:rFonts w:eastAsiaTheme="majorEastAsia"/>
      </w:rPr>
      <w:fldChar w:fldCharType="separate"/>
    </w:r>
    <w:r w:rsidR="0048555F">
      <w:rPr>
        <w:rStyle w:val="Numrodepage"/>
        <w:rFonts w:eastAsiaTheme="majorEastAsia"/>
        <w:noProof/>
      </w:rPr>
      <w:t>I</w:t>
    </w:r>
    <w:r>
      <w:rPr>
        <w:rStyle w:val="Numrodepage"/>
        <w:rFonts w:eastAsiaTheme="majorEastAsia"/>
      </w:rPr>
      <w:fldChar w:fldCharType="end"/>
    </w:r>
  </w:p>
  <w:p w:rsidR="00E20684" w:rsidRDefault="00372F9A">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684" w:rsidRDefault="001D0820">
    <w:pPr>
      <w:pStyle w:val="Pieddepage"/>
      <w:framePr w:wrap="around" w:vAnchor="text" w:hAnchor="margin" w:xAlign="center" w:y="1"/>
      <w:rPr>
        <w:rStyle w:val="Numrodepage"/>
        <w:rFonts w:eastAsiaTheme="majorEastAsia"/>
      </w:rPr>
    </w:pPr>
    <w:r>
      <w:rPr>
        <w:rStyle w:val="Numrodepage"/>
        <w:rFonts w:eastAsiaTheme="majorEastAsia"/>
      </w:rPr>
      <w:fldChar w:fldCharType="begin"/>
    </w:r>
    <w:r w:rsidR="0048555F">
      <w:rPr>
        <w:rStyle w:val="Numrodepage"/>
        <w:rFonts w:eastAsiaTheme="majorEastAsia"/>
      </w:rPr>
      <w:instrText xml:space="preserve">PAGE  </w:instrText>
    </w:r>
    <w:r>
      <w:rPr>
        <w:rStyle w:val="Numrodepage"/>
        <w:rFonts w:eastAsiaTheme="majorEastAsia"/>
      </w:rPr>
      <w:fldChar w:fldCharType="separate"/>
    </w:r>
    <w:r w:rsidR="004D553C">
      <w:rPr>
        <w:rStyle w:val="Numrodepage"/>
        <w:rFonts w:eastAsiaTheme="majorEastAsia"/>
        <w:noProof/>
      </w:rPr>
      <w:t>I</w:t>
    </w:r>
    <w:r>
      <w:rPr>
        <w:rStyle w:val="Numrodepage"/>
        <w:rFonts w:eastAsiaTheme="majorEastAsia"/>
      </w:rPr>
      <w:fldChar w:fldCharType="end"/>
    </w:r>
  </w:p>
  <w:p w:rsidR="00E20684" w:rsidRDefault="00372F9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F9A" w:rsidRDefault="00372F9A" w:rsidP="001D0820">
      <w:r>
        <w:separator/>
      </w:r>
    </w:p>
  </w:footnote>
  <w:footnote w:type="continuationSeparator" w:id="1">
    <w:p w:rsidR="00372F9A" w:rsidRDefault="00372F9A" w:rsidP="001D08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87FAC"/>
    <w:multiLevelType w:val="hybridMultilevel"/>
    <w:tmpl w:val="834C9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7AD64B9"/>
    <w:multiLevelType w:val="hybridMultilevel"/>
    <w:tmpl w:val="97866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ED56042"/>
    <w:multiLevelType w:val="hybridMultilevel"/>
    <w:tmpl w:val="052826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9F45CB9"/>
    <w:multiLevelType w:val="hybridMultilevel"/>
    <w:tmpl w:val="03A66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47E5901"/>
    <w:multiLevelType w:val="hybridMultilevel"/>
    <w:tmpl w:val="8C1485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6B56EA"/>
    <w:multiLevelType w:val="hybridMultilevel"/>
    <w:tmpl w:val="E7EA9B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C84B30"/>
    <w:rsid w:val="0003491B"/>
    <w:rsid w:val="00056DE8"/>
    <w:rsid w:val="001D0820"/>
    <w:rsid w:val="00372F9A"/>
    <w:rsid w:val="004848BE"/>
    <w:rsid w:val="0048555F"/>
    <w:rsid w:val="004D553C"/>
    <w:rsid w:val="005565BD"/>
    <w:rsid w:val="006777EC"/>
    <w:rsid w:val="0076030A"/>
    <w:rsid w:val="008D497B"/>
    <w:rsid w:val="00B843C2"/>
    <w:rsid w:val="00B95AA1"/>
    <w:rsid w:val="00C84B30"/>
    <w:rsid w:val="00DB4A64"/>
    <w:rsid w:val="00F02716"/>
    <w:rsid w:val="00F82CF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B3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DB4A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DB4A64"/>
    <w:rPr>
      <w:rFonts w:asciiTheme="majorHAnsi" w:eastAsiaTheme="majorEastAsia" w:hAnsiTheme="majorHAnsi" w:cstheme="majorBidi"/>
      <w:color w:val="17365D" w:themeColor="text2" w:themeShade="BF"/>
      <w:spacing w:val="5"/>
      <w:kern w:val="28"/>
      <w:sz w:val="52"/>
      <w:szCs w:val="52"/>
    </w:rPr>
  </w:style>
  <w:style w:type="paragraph" w:styleId="Sansinterligne">
    <w:name w:val="No Spacing"/>
    <w:uiPriority w:val="1"/>
    <w:qFormat/>
    <w:rsid w:val="00DB4A64"/>
    <w:pPr>
      <w:spacing w:after="0" w:line="240" w:lineRule="auto"/>
    </w:pPr>
  </w:style>
  <w:style w:type="paragraph" w:styleId="Pieddepage">
    <w:name w:val="footer"/>
    <w:basedOn w:val="Normal"/>
    <w:link w:val="PieddepageCar"/>
    <w:rsid w:val="00C84B30"/>
    <w:pPr>
      <w:tabs>
        <w:tab w:val="center" w:pos="4536"/>
        <w:tab w:val="right" w:pos="9072"/>
      </w:tabs>
    </w:pPr>
  </w:style>
  <w:style w:type="character" w:customStyle="1" w:styleId="PieddepageCar">
    <w:name w:val="Pied de page Car"/>
    <w:basedOn w:val="Policepardfaut"/>
    <w:link w:val="Pieddepage"/>
    <w:rsid w:val="00C84B30"/>
    <w:rPr>
      <w:rFonts w:ascii="Times New Roman" w:eastAsia="Times New Roman" w:hAnsi="Times New Roman" w:cs="Times New Roman"/>
      <w:sz w:val="24"/>
      <w:szCs w:val="24"/>
      <w:lang w:eastAsia="fr-FR"/>
    </w:rPr>
  </w:style>
  <w:style w:type="character" w:styleId="Numrodepage">
    <w:name w:val="page number"/>
    <w:basedOn w:val="Policepardfaut"/>
    <w:rsid w:val="00C84B30"/>
  </w:style>
  <w:style w:type="paragraph" w:styleId="Paragraphedeliste">
    <w:name w:val="List Paragraph"/>
    <w:basedOn w:val="Normal"/>
    <w:uiPriority w:val="34"/>
    <w:qFormat/>
    <w:rsid w:val="006777EC"/>
    <w:pPr>
      <w:ind w:left="720"/>
      <w:contextualSpacing/>
    </w:pPr>
  </w:style>
  <w:style w:type="paragraph" w:styleId="Textedebulles">
    <w:name w:val="Balloon Text"/>
    <w:basedOn w:val="Normal"/>
    <w:link w:val="TextedebullesCar"/>
    <w:uiPriority w:val="99"/>
    <w:semiHidden/>
    <w:unhideWhenUsed/>
    <w:rsid w:val="006777EC"/>
    <w:rPr>
      <w:rFonts w:ascii="Tahoma" w:hAnsi="Tahoma" w:cs="Tahoma"/>
      <w:sz w:val="16"/>
      <w:szCs w:val="16"/>
    </w:rPr>
  </w:style>
  <w:style w:type="character" w:customStyle="1" w:styleId="TextedebullesCar">
    <w:name w:val="Texte de bulles Car"/>
    <w:basedOn w:val="Policepardfaut"/>
    <w:link w:val="Textedebulles"/>
    <w:uiPriority w:val="99"/>
    <w:semiHidden/>
    <w:rsid w:val="006777EC"/>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DEF0FB-BEC5-439B-B1E1-47D946FC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510</Words>
  <Characters>2809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2018-12-19T19:28:00Z</dcterms:created>
  <dcterms:modified xsi:type="dcterms:W3CDTF">2019-07-17T13:12:00Z</dcterms:modified>
</cp:coreProperties>
</file>